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BB" w:rsidRPr="00A94EA6" w:rsidRDefault="00A94EA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A6">
        <w:rPr>
          <w:rFonts w:ascii="Times New Roman" w:eastAsia="Tahoma" w:hAnsi="Times New Roman" w:cs="Times New Roman"/>
          <w:sz w:val="24"/>
          <w:szCs w:val="24"/>
        </w:rPr>
        <w:t xml:space="preserve">Scuola </w:t>
      </w:r>
      <w:r w:rsidRPr="00A94EA6">
        <w:rPr>
          <w:rFonts w:ascii="Times New Roman" w:eastAsia="Times New Roman" w:hAnsi="Times New Roman" w:cs="Times New Roman"/>
          <w:sz w:val="24"/>
          <w:szCs w:val="24"/>
        </w:rPr>
        <w:t xml:space="preserve">ISTITUTO COMPRENSIVO   “VIRGILIO”          </w:t>
      </w:r>
    </w:p>
    <w:p w:rsidR="003C69BB" w:rsidRPr="00A94EA6" w:rsidRDefault="00A94EA6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E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4EA6">
        <w:rPr>
          <w:rFonts w:ascii="Times New Roman" w:eastAsia="Tahoma" w:hAnsi="Times New Roman" w:cs="Times New Roman"/>
          <w:sz w:val="24"/>
          <w:szCs w:val="24"/>
        </w:rPr>
        <w:t>a.s</w:t>
      </w:r>
      <w:proofErr w:type="spellStart"/>
      <w:r w:rsidRPr="00A94EA6">
        <w:rPr>
          <w:rFonts w:ascii="Times New Roman" w:eastAsia="Tahoma" w:hAnsi="Times New Roman" w:cs="Times New Roman"/>
          <w:sz w:val="24"/>
          <w:szCs w:val="24"/>
        </w:rPr>
        <w:t>.202</w:t>
      </w:r>
      <w:proofErr w:type="spellEnd"/>
      <w:r w:rsidRPr="00A94EA6">
        <w:rPr>
          <w:rFonts w:ascii="Times New Roman" w:eastAsia="Tahoma" w:hAnsi="Times New Roman" w:cs="Times New Roman"/>
          <w:sz w:val="24"/>
          <w:szCs w:val="24"/>
        </w:rPr>
        <w:t>1-2022</w:t>
      </w:r>
    </w:p>
    <w:p w:rsidR="003C69BB" w:rsidRPr="00A94EA6" w:rsidRDefault="003C69BB">
      <w:pPr>
        <w:pStyle w:val="normal"/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3C69BB" w:rsidRPr="00A94EA6" w:rsidRDefault="00A94EA6">
      <w:pPr>
        <w:pStyle w:val="normal"/>
        <w:spacing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A94EA6">
        <w:rPr>
          <w:rFonts w:ascii="Times New Roman" w:eastAsia="Tahoma" w:hAnsi="Times New Roman" w:cs="Times New Roman"/>
          <w:sz w:val="24"/>
          <w:szCs w:val="24"/>
        </w:rPr>
        <w:t>Piano Annuale per l’Inclusione</w:t>
      </w:r>
    </w:p>
    <w:p w:rsidR="003C69BB" w:rsidRPr="00A94EA6" w:rsidRDefault="003C69BB">
      <w:pPr>
        <w:pStyle w:val="normal"/>
        <w:spacing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Style w:val="a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778"/>
      </w:tblGrid>
      <w:tr w:rsidR="003C69BB" w:rsidRPr="00A94EA6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Parte I – analisi dei punti di forza e di criticità   </w:t>
            </w: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8148"/>
        <w:gridCol w:w="1630"/>
      </w:tblGrid>
      <w:tr w:rsidR="003C69BB" w:rsidRPr="00A94EA6">
        <w:trPr>
          <w:trHeight w:val="304"/>
        </w:trPr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Rilevazione dei BES presenti: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n°</w:t>
            </w:r>
            <w:proofErr w:type="spellEnd"/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5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disabilità certificate (Legge 104/92 art. 3, commi 1 e 3)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1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minorati vista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1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minorati udito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1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Psicofisici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22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5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disturbi evolutivi specifici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DSA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12</w:t>
            </w:r>
          </w:p>
        </w:tc>
      </w:tr>
      <w:tr w:rsidR="003C69BB" w:rsidRPr="00A94EA6"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ADHD/DOP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Altro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5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svantaggio (indicare il disagio prevalente)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Socio-economico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Linguistico-culturale</w:t>
            </w:r>
            <w:proofErr w:type="spellEnd"/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19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Disagio comportamentale/relazionale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81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Borderline cognitivo</w:t>
            </w:r>
          </w:p>
        </w:tc>
        <w:tc>
          <w:tcPr>
            <w:tcW w:w="1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rPr>
          <w:trHeight w:val="263"/>
        </w:trPr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left="108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Altro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7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61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% su popolazione scolastica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N°</w:t>
            </w:r>
            <w:proofErr w:type="spellEnd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PEI redatti dai GLHO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N°</w:t>
            </w:r>
            <w:proofErr w:type="spellEnd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di PDP redatti dai Consigli di classe in 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>presenza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di certificazione sanitaria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C69BB" w:rsidRPr="00A94EA6">
        <w:tc>
          <w:tcPr>
            <w:tcW w:w="8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N°</w:t>
            </w:r>
            <w:proofErr w:type="spellEnd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di PDP redatti dai Consigli di classe in 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  <w:u w:val="single"/>
              </w:rPr>
              <w:t>assenza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di certificazione sanitaria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4927"/>
        <w:gridCol w:w="2551"/>
        <w:gridCol w:w="2300"/>
      </w:tblGrid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Risorse professionali specifiche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 xml:space="preserve">Prevalentemente utilizzate </w:t>
            </w:r>
            <w:proofErr w:type="spellStart"/>
            <w:r w:rsidRPr="00A94EA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in…</w:t>
            </w:r>
            <w:proofErr w:type="spellEnd"/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Si/ No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Insegnanti di sostegno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Attività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laboratoriali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integrate (gruppo classe, classi aperte, laboratori protetti, ecc.)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  <w:p w:rsidR="003C69BB" w:rsidRPr="00A94EA6" w:rsidRDefault="003C69BB">
            <w:pPr>
              <w:pStyle w:val="normal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AEC (assistente educativi culturale o alla persona)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Attività individualizzate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;</w:t>
            </w:r>
          </w:p>
          <w:p w:rsidR="003C69BB" w:rsidRPr="00A94EA6" w:rsidRDefault="00A94EA6">
            <w:pPr>
              <w:pStyle w:val="normal"/>
              <w:spacing w:line="240" w:lineRule="auto"/>
              <w:ind w:left="-108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N°1 scuola Primaria di </w:t>
            </w:r>
            <w:proofErr w:type="spellStart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Abbadia</w:t>
            </w:r>
            <w:proofErr w:type="spellEnd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di Montepulciano.</w:t>
            </w:r>
          </w:p>
          <w:p w:rsidR="003C69BB" w:rsidRPr="00A94EA6" w:rsidRDefault="00A94EA6">
            <w:pPr>
              <w:pStyle w:val="normal"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N°</w:t>
            </w:r>
            <w:proofErr w:type="spellEnd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3 scuola primaria di </w:t>
            </w:r>
            <w:proofErr w:type="spellStart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Acquaviva</w:t>
            </w:r>
            <w:proofErr w:type="spellEnd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(+1 ore di recupero)</w:t>
            </w:r>
          </w:p>
          <w:p w:rsidR="003C69BB" w:rsidRPr="00A94EA6" w:rsidRDefault="003C69BB">
            <w:pPr>
              <w:pStyle w:val="normal"/>
              <w:spacing w:line="240" w:lineRule="auto"/>
              <w:ind w:left="-108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Assistenti alla comunicazione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N°1 scuola dell'Infanzia di </w:t>
            </w:r>
            <w:proofErr w:type="spellStart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Abbadia</w:t>
            </w:r>
            <w:proofErr w:type="spellEnd"/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di Montepulciano.</w:t>
            </w:r>
          </w:p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Funzioni strumentali / coordinamento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Referenti di Istituto (disabilità, DSA, BES)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Psicopedagogisti e affini esterni/interni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Docenti tutor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Alunni tutor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spacing w:line="240" w:lineRule="auto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9BB" w:rsidRPr="00A94EA6" w:rsidRDefault="003C69BB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210"/>
        <w:gridCol w:w="2937"/>
        <w:gridCol w:w="1631"/>
      </w:tblGrid>
      <w:tr w:rsidR="003C69BB" w:rsidRPr="00A94EA6"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Coinvolgimento docenti curricolari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</w:rPr>
            </w:pPr>
            <w:proofErr w:type="spellStart"/>
            <w:r w:rsidRPr="00A94EA6">
              <w:rPr>
                <w:rFonts w:ascii="Times New Roman" w:eastAsia="Tahoma" w:hAnsi="Times New Roman" w:cs="Times New Roman"/>
                <w:i/>
                <w:sz w:val="24"/>
                <w:szCs w:val="24"/>
              </w:rPr>
              <w:t>Attraverso…</w:t>
            </w:r>
            <w:proofErr w:type="spellEnd"/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 / No</w:t>
            </w:r>
          </w:p>
        </w:tc>
      </w:tr>
      <w:tr w:rsidR="003C69BB" w:rsidRPr="00A94EA6">
        <w:tc>
          <w:tcPr>
            <w:tcW w:w="5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Coordinatori di classe e simili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Progetti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didattico-educativi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a prevalente tematica inclusiva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Comic Sans MS" w:hAnsi="Times New Roman" w:cs="Times New Roman"/>
                <w:sz w:val="24"/>
                <w:szCs w:val="24"/>
              </w:rPr>
              <w:t>Progetto di Orientamento e continuità.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5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Docenti con specifica formazione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Progetti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didattico-educativi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a prevalente tematica inclusiva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5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jc w:val="right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Altri docenti</w:t>
            </w: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Tutoraggio alunni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Progetti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didattico-educativi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a prevalente tematica inclusiva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52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4076"/>
        <w:gridCol w:w="4074"/>
        <w:gridCol w:w="1631"/>
      </w:tblGrid>
      <w:tr w:rsidR="003C69BB" w:rsidRPr="00A94EA6"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Coinvolgimento personale ATA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Assistenza alunni disabili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di inclusione / laboratori integrati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Coinvolgimento famiglie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Informazione /formazione su genitorialità e psicopedagogia dell’età evolutiva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Coinvolgimento in progetti di inclusione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Coinvolgimento in attività di promozione della comunità educante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Rapporti con servizi sociosanitari territoriali e istituzioni deputate alla sicurezza. Rapporti con CTS / CTI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Accordi di programma / protocolli di intesa formalizzati sulla disabilità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Accordi di programma / protocolli di intesa formalizzati su disagio e simili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Procedure condivise di intervento sulla </w:t>
            </w: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disabilità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Procedure condivise di intervento su disagio e simili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Rapporti con CTS / CTI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Rapporti con privato sociale e volontariato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Progetti a livello di reti di scuole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3C69BB" w:rsidRPr="00A94EA6"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numPr>
                <w:ilvl w:val="0"/>
                <w:numId w:val="6"/>
              </w:num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Formazione docenti</w:t>
            </w: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Strategie e metodologie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educativo-didattiche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/ gestione della classe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Didattica speciale e progetti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educativo-didattici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a prevalente tematica inclusiva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Didattica interculturale / italiano L2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Progetti di formazione su specifiche disabilità (autismo, ADHD,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Dis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. Intellettive, </w:t>
            </w:r>
            <w:proofErr w:type="spellStart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sensoriali…</w:t>
            </w:r>
            <w:proofErr w:type="spellEnd"/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widowControl w:val="0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A94EA6">
            <w:pPr>
              <w:pStyle w:val="normal"/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1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C69BB" w:rsidRPr="00A94EA6" w:rsidRDefault="003C69BB">
            <w:pPr>
              <w:pStyle w:val="normal"/>
              <w:spacing w:line="240" w:lineRule="auto"/>
              <w:ind w:left="-108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778"/>
      </w:tblGrid>
      <w:tr w:rsidR="003C69BB" w:rsidRPr="00A94EA6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Parte II – Obiettivi di incremento dell’</w:t>
            </w:r>
            <w:proofErr w:type="spellStart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inclusività</w:t>
            </w:r>
            <w:proofErr w:type="spellEnd"/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proposti per il prossimo anno</w:t>
            </w: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78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778"/>
      </w:tblGrid>
      <w:tr w:rsidR="003C69BB" w:rsidRPr="00A94EA6">
        <w:trPr>
          <w:trHeight w:val="2268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Aspetti organizzativi e gestionali coinvolti nel cambiamento inclusivo</w:t>
            </w: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_ 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Il Piano di Integrazione scolastica si esplica attraverso i seguenti gruppi di lavoro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GRUPPO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LAVORO PER L’INCLUSIONE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(Art. 15 L.104/92 e C.M. 8/2013) </w:t>
            </w: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(GLI)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MEMBRI: il Dirigente Scolastico, il Referente per l’Integrazione, un docente di sostegno per ogni ordine di scuola , un docente curriculare per ogni ordine di scuola, un rappresentant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e del Personale A.T.A. (un collaboratore scolastico), un rappresentante dei Genitori, un rappresentante dell’Amministrazione Comunale, un rappresentante degli operatori socio - assistenziali del territorio, un rappresentante del distretto socio-sanitario d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el territorio, un rappresentante di Associazioni od Enti che operano in accordo con la scuola.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FINALITÀ: Facilitare l’inserimento degli alunni in difficoltà nel sistema scolastico e sociale, Promuovere la comunicazione e la collaborazione fra scuola e terr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itorio sui temi dell’integrazione, Predisporre gli interventi volti a promuovere l’integrazione.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COMPITI: Progettare azioni comuni, Monitorare progetti esistenti, Operare in raccordo tra le diverse realtà, Gestione delle risorse, Proposta di assegnazione d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elle ore di attività di sostegno ai singoli alunni, Pianificazione dei rapporti con gli operatori extrascolastici, Reperimento di specialisti e consulenze esterne, Gestione e reperimento delle risorse materiali, Sussidi, ausili, Raccordo con i membri del g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ruppo per l’integrazione scolastica provinciale al fine di concordare le modalità più efficaci di diffusione della cultura dell’integrazione, Formulazione di progetti specifici e di eventuali progetti di continuità, Attività di consulenza ai consigli di cl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asse/sezione, al fine che siano applicate le procedure corrette e che sia perseguito il massimo vantaggio per lo sviluppo formativo degli alunni, nel rispetto della normativa.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MODALITÀ DEGLI INCONTRI: il numero degli incontri viene deliberato nella prima r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iunione.</w:t>
            </w:r>
          </w:p>
          <w:p w:rsidR="003C69BB" w:rsidRPr="00A94EA6" w:rsidRDefault="003C69B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GRUPPI di LAVORO OPERATIVO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SEZIONE/CLASSE (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G.L.O.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MEMBRI: insegnanti che operano con l’alunno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diversabile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; operatori dei servizi specialistici e/o sociali, pubblici e/o privati; genitori dell’alunno; Dirigente Scolastico.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COMPITI: Elaborazion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e, Monitoraggio e Verifica del Profilo Dinamico-Funzionale e del Piano Educativo Individualizzato,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MODALITÀ DEGLI INCONTRI: vengono effettuati due incontri con tutti i componenti del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g.l.h.o.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, il primo di progettazione e l’ultimo di monitoraggio del proget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to educativo ed ulteriori incontri,stabiliti ad inizio anno, solo con il gruppo tecnico scolastico;tuttavia per particolari problemi sopraggiunti si prevedono ulteriori incontri in seduta congiunta.</w:t>
            </w:r>
          </w:p>
          <w:p w:rsidR="003C69BB" w:rsidRPr="00A94EA6" w:rsidRDefault="003C69B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CONSIGLI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CLASSE/SEZIONE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MEMBRI: insegnanti che operano con l’alunno in difficoltà; Dirigente Scolastico.</w:t>
            </w:r>
          </w:p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COMPITI: Elaborazione,Monitoraggio e Verifica del Piano Didattico Personalizzato.</w:t>
            </w:r>
          </w:p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MODALITÀ DEGLI INCONTRI: il numero degli incontri viene stabilito ad inizio anno.</w:t>
            </w: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783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Possibili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tà di strutturare percorsi specifici di formazione e aggiornamento degli insegnanti</w:t>
            </w:r>
          </w:p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I docenti curricolari e di sostegno partecipano, volontariamente, a corsi di formazione e aggiornamento organizzati dalla scuola (interni) e/o da enti esterni.</w:t>
            </w:r>
          </w:p>
        </w:tc>
      </w:tr>
      <w:tr w:rsidR="003C69BB" w:rsidRPr="00A94EA6">
        <w:trPr>
          <w:trHeight w:val="851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Adozione di strategie di valutazione coerenti con prassi inclusive;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Negli anni sono state introdotte griglie di valutazione in itinere a seconda dei casi BES e di eventuali nuove modalità di valutazione da adottare in ogni consiglio di classe.</w:t>
            </w: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693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Organizzaz</w:t>
            </w: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ione dei diversi tipi di sostegno presenti all’interno della scuola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 richiede maggiore flessibilità e trasversalità nell'organizzazione del sostegno all'interno della classe. 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Organizzare le azioni attraverso metodologie funzionali all'inclusione e al successo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della persona: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laboratoriali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doing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per piccolo gruppi (cooperative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Tutoring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Attività individualizzata (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mastery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992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Ruolo delle famiglie e della comunità nel dare supporto e nel partecipare alle decisioni che riguardano l’organizzazione delle attività educative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Le famiglie saranno coinvolte sia in fase di progettazione che di realizzazione degli interventi inclusivi.</w:t>
            </w:r>
          </w:p>
          <w:p w:rsidR="003C69BB" w:rsidRPr="00A94EA6" w:rsidRDefault="003C69BB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2268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Sviluppo di un curricolo attento alle diversità e alla promozione di percorsi formativi inclusivi;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Ampliamento di protocolli di accoglienza per coordinare l’inclusione all’interno dei vari plessi.</w:t>
            </w:r>
          </w:p>
        </w:tc>
      </w:tr>
      <w:tr w:rsidR="003C69BB" w:rsidRPr="00A94EA6">
        <w:trPr>
          <w:trHeight w:val="6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lastRenderedPageBreak/>
              <w:t>Valorizzazione delle risorse esistenti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delle competenze dei docenti interni e valorizzazione delle stesse nella progettazione di momenti formativi e del PDP;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Valorizzazione delle risorse della classe.</w:t>
            </w:r>
          </w:p>
          <w:p w:rsidR="003C69BB" w:rsidRPr="00A94EA6" w:rsidRDefault="003C69BB">
            <w:pPr>
              <w:pStyle w:val="normal"/>
              <w:spacing w:line="240" w:lineRule="auto"/>
              <w:ind w:left="720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1103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Acquisizione e distribuzione di risorse aggiuntive utilizzabili per la realizzazione dei progetti di inclusione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Collaborare con i servizi sociosanitari territoriali;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Potenziare la comunicazione con gli Enti locali;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Creare un sito per la condivisione delle </w:t>
            </w: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esperienze di inclusione;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Potenziare i legami con le associazioni di volontariato;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Migliorare la formazione docente anche attraverso esperti esterni per la formazione e l’aggiornamento del personale.</w:t>
            </w:r>
          </w:p>
          <w:p w:rsidR="003C69BB" w:rsidRPr="00A94EA6" w:rsidRDefault="003C69BB">
            <w:pPr>
              <w:pStyle w:val="normal"/>
              <w:spacing w:line="240" w:lineRule="auto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Constantia" w:hAnsi="Times New Roman" w:cs="Times New Roman"/>
                <w:sz w:val="24"/>
                <w:szCs w:val="24"/>
              </w:rPr>
              <w:t>Richiesta di assistenza per ...</w:t>
            </w:r>
            <w:r w:rsidRPr="00A94EA6">
              <w:rPr>
                <w:rFonts w:ascii="Times New Roman" w:eastAsia="Constantia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94EA6">
              <w:rPr>
                <w:rFonts w:ascii="Times New Roman" w:eastAsia="Constantia" w:hAnsi="Times New Roman" w:cs="Times New Roman"/>
                <w:sz w:val="24"/>
                <w:szCs w:val="24"/>
              </w:rPr>
              <w:t>ore divise tra ... alun</w:t>
            </w:r>
            <w:r w:rsidRPr="00A94EA6">
              <w:rPr>
                <w:rFonts w:ascii="Times New Roman" w:eastAsia="Constantia" w:hAnsi="Times New Roman" w:cs="Times New Roman"/>
                <w:sz w:val="24"/>
                <w:szCs w:val="24"/>
              </w:rPr>
              <w:t>ni di scuola primaria e secondaria</w:t>
            </w:r>
          </w:p>
        </w:tc>
      </w:tr>
      <w:tr w:rsidR="003C69BB" w:rsidRPr="00A94EA6">
        <w:trPr>
          <w:trHeight w:val="836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:rsidR="003C69BB" w:rsidRPr="00A94EA6" w:rsidRDefault="00A94EA6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Per la realizzazione del progetto di vita degli alunni, la scuola predispone percorsi di orientamento e continuità.</w:t>
            </w:r>
          </w:p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</w:tr>
      <w:tr w:rsidR="003C69BB" w:rsidRPr="00A94EA6">
        <w:trPr>
          <w:trHeight w:val="836"/>
        </w:trPr>
        <w:tc>
          <w:tcPr>
            <w:tcW w:w="97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69BB" w:rsidRPr="00A94EA6" w:rsidRDefault="003C69BB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94EA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Obiettivi di formazione</w:t>
            </w:r>
          </w:p>
          <w:p w:rsidR="003C69BB" w:rsidRPr="00A94EA6" w:rsidRDefault="00A94EA6">
            <w:pPr>
              <w:pStyle w:val="normal"/>
              <w:tabs>
                <w:tab w:val="left" w:pos="7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A6">
              <w:rPr>
                <w:rFonts w:ascii="Times New Roman" w:eastAsia="Times New Roman" w:hAnsi="Times New Roman" w:cs="Times New Roman"/>
                <w:sz w:val="24"/>
                <w:szCs w:val="24"/>
              </w:rPr>
              <w:t>Necessità di approfondire la conoscenza del nuovo PEI e della sua compilazione</w:t>
            </w:r>
          </w:p>
        </w:tc>
      </w:tr>
    </w:tbl>
    <w:p w:rsidR="003C69BB" w:rsidRPr="00A94EA6" w:rsidRDefault="003C69BB">
      <w:pPr>
        <w:pStyle w:val="normal"/>
        <w:spacing w:line="240" w:lineRule="auto"/>
        <w:rPr>
          <w:rFonts w:ascii="Times New Roman" w:eastAsia="Tahoma" w:hAnsi="Times New Roman" w:cs="Times New Roman"/>
          <w:sz w:val="24"/>
          <w:szCs w:val="24"/>
        </w:rPr>
      </w:pPr>
    </w:p>
    <w:p w:rsidR="003C69BB" w:rsidRPr="00A94EA6" w:rsidRDefault="00A94EA6">
      <w:pPr>
        <w:pStyle w:val="normal"/>
        <w:spacing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94EA6">
        <w:rPr>
          <w:rFonts w:ascii="Times New Roman" w:eastAsia="Tahoma" w:hAnsi="Times New Roman" w:cs="Times New Roman"/>
          <w:b/>
          <w:sz w:val="24"/>
          <w:szCs w:val="24"/>
        </w:rPr>
        <w:t xml:space="preserve">Approvato dal Gruppo di Lavoro per l’Inclusione in data </w:t>
      </w:r>
      <w:r>
        <w:rPr>
          <w:rFonts w:ascii="Times New Roman" w:eastAsia="Tahoma" w:hAnsi="Times New Roman" w:cs="Times New Roman"/>
          <w:b/>
          <w:sz w:val="24"/>
          <w:szCs w:val="24"/>
        </w:rPr>
        <w:t>20.05.2021</w:t>
      </w:r>
    </w:p>
    <w:p w:rsidR="003C69BB" w:rsidRPr="00A94EA6" w:rsidRDefault="00A94EA6">
      <w:pPr>
        <w:pStyle w:val="normal"/>
        <w:spacing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  <w:r w:rsidRPr="00A94EA6">
        <w:rPr>
          <w:rFonts w:ascii="Times New Roman" w:eastAsia="Tahoma" w:hAnsi="Times New Roman" w:cs="Times New Roman"/>
          <w:b/>
          <w:sz w:val="24"/>
          <w:szCs w:val="24"/>
        </w:rPr>
        <w:t xml:space="preserve">Approvato dalla commissione BES in data </w:t>
      </w:r>
      <w:r>
        <w:rPr>
          <w:rFonts w:ascii="Times New Roman" w:eastAsia="Tahoma" w:hAnsi="Times New Roman" w:cs="Times New Roman"/>
          <w:b/>
          <w:sz w:val="24"/>
          <w:szCs w:val="24"/>
        </w:rPr>
        <w:t>20.05.2021</w:t>
      </w:r>
    </w:p>
    <w:p w:rsidR="003C69BB" w:rsidRPr="00A94EA6" w:rsidRDefault="00A94EA6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EA6">
        <w:rPr>
          <w:rFonts w:ascii="Times New Roman" w:eastAsia="Tahoma" w:hAnsi="Times New Roman" w:cs="Times New Roman"/>
          <w:b/>
          <w:sz w:val="24"/>
          <w:szCs w:val="24"/>
        </w:rPr>
        <w:t xml:space="preserve">Deliberato dal Collegio dei Docenti in data </w:t>
      </w:r>
    </w:p>
    <w:p w:rsidR="003C69BB" w:rsidRPr="00A94EA6" w:rsidRDefault="003C69BB">
      <w:pPr>
        <w:pStyle w:val="normal"/>
        <w:spacing w:line="240" w:lineRule="auto"/>
        <w:rPr>
          <w:rFonts w:ascii="Times New Roman" w:eastAsia="Tahoma" w:hAnsi="Times New Roman" w:cs="Times New Roman"/>
          <w:b/>
          <w:sz w:val="24"/>
          <w:szCs w:val="24"/>
        </w:rPr>
      </w:pPr>
    </w:p>
    <w:p w:rsidR="003C69BB" w:rsidRPr="00A94EA6" w:rsidRDefault="003C69BB">
      <w:pPr>
        <w:pStyle w:val="normal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69BB" w:rsidRPr="00A94EA6" w:rsidRDefault="003C69BB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3C69BB" w:rsidRPr="00A94EA6" w:rsidSect="003C69B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B65"/>
    <w:multiLevelType w:val="multilevel"/>
    <w:tmpl w:val="90D258B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3E1D4E"/>
    <w:multiLevelType w:val="multilevel"/>
    <w:tmpl w:val="E78470A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⮚.%2.%3."/>
      <w:lvlJc w:val="right"/>
      <w:pPr>
        <w:ind w:left="2160" w:hanging="180"/>
      </w:pPr>
    </w:lvl>
    <w:lvl w:ilvl="3">
      <w:start w:val="1"/>
      <w:numFmt w:val="decimal"/>
      <w:lvlText w:val="⮚.%2.%3.%4."/>
      <w:lvlJc w:val="left"/>
      <w:pPr>
        <w:ind w:left="2880" w:hanging="360"/>
      </w:pPr>
    </w:lvl>
    <w:lvl w:ilvl="4">
      <w:start w:val="1"/>
      <w:numFmt w:val="lowerLetter"/>
      <w:lvlText w:val="⮚.%2.%3.%4.%5."/>
      <w:lvlJc w:val="left"/>
      <w:pPr>
        <w:ind w:left="3600" w:hanging="360"/>
      </w:pPr>
    </w:lvl>
    <w:lvl w:ilvl="5">
      <w:start w:val="1"/>
      <w:numFmt w:val="lowerRoman"/>
      <w:lvlText w:val="⮚.%2.%3.%4.%5.%6."/>
      <w:lvlJc w:val="right"/>
      <w:pPr>
        <w:ind w:left="4320" w:hanging="180"/>
      </w:pPr>
    </w:lvl>
    <w:lvl w:ilvl="6">
      <w:start w:val="1"/>
      <w:numFmt w:val="decimal"/>
      <w:lvlText w:val="⮚.%2.%3.%4.%5.%6.%7."/>
      <w:lvlJc w:val="left"/>
      <w:pPr>
        <w:ind w:left="5040" w:hanging="360"/>
      </w:pPr>
    </w:lvl>
    <w:lvl w:ilvl="7">
      <w:start w:val="1"/>
      <w:numFmt w:val="lowerLetter"/>
      <w:lvlText w:val="⮚.%2.%3.%4.%5.%6.%7.%8."/>
      <w:lvlJc w:val="left"/>
      <w:pPr>
        <w:ind w:left="5760" w:hanging="360"/>
      </w:pPr>
    </w:lvl>
    <w:lvl w:ilvl="8">
      <w:start w:val="1"/>
      <w:numFmt w:val="lowerRoman"/>
      <w:lvlText w:val="⮚.%2.%3.%4.%5.%6.%7.%8.%9."/>
      <w:lvlJc w:val="right"/>
      <w:pPr>
        <w:ind w:left="6480" w:hanging="180"/>
      </w:pPr>
    </w:lvl>
  </w:abstractNum>
  <w:abstractNum w:abstractNumId="2">
    <w:nsid w:val="1A1A1EB5"/>
    <w:multiLevelType w:val="multilevel"/>
    <w:tmpl w:val="604CD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70677C7F"/>
    <w:multiLevelType w:val="multilevel"/>
    <w:tmpl w:val="E78211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74EF3CC5"/>
    <w:multiLevelType w:val="multilevel"/>
    <w:tmpl w:val="D312FA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⮚.%2.%3."/>
      <w:lvlJc w:val="right"/>
      <w:pPr>
        <w:ind w:left="2160" w:hanging="180"/>
      </w:pPr>
    </w:lvl>
    <w:lvl w:ilvl="3">
      <w:start w:val="1"/>
      <w:numFmt w:val="decimal"/>
      <w:lvlText w:val="⮚.%2.%3.%4."/>
      <w:lvlJc w:val="left"/>
      <w:pPr>
        <w:ind w:left="2880" w:hanging="360"/>
      </w:pPr>
    </w:lvl>
    <w:lvl w:ilvl="4">
      <w:start w:val="1"/>
      <w:numFmt w:val="lowerLetter"/>
      <w:lvlText w:val="⮚.%2.%3.%4.%5."/>
      <w:lvlJc w:val="left"/>
      <w:pPr>
        <w:ind w:left="3600" w:hanging="360"/>
      </w:pPr>
    </w:lvl>
    <w:lvl w:ilvl="5">
      <w:start w:val="1"/>
      <w:numFmt w:val="lowerRoman"/>
      <w:lvlText w:val="⮚.%2.%3.%4.%5.%6."/>
      <w:lvlJc w:val="right"/>
      <w:pPr>
        <w:ind w:left="4320" w:hanging="180"/>
      </w:pPr>
    </w:lvl>
    <w:lvl w:ilvl="6">
      <w:start w:val="1"/>
      <w:numFmt w:val="decimal"/>
      <w:lvlText w:val="⮚.%2.%3.%4.%5.%6.%7."/>
      <w:lvlJc w:val="left"/>
      <w:pPr>
        <w:ind w:left="5040" w:hanging="360"/>
      </w:pPr>
    </w:lvl>
    <w:lvl w:ilvl="7">
      <w:start w:val="1"/>
      <w:numFmt w:val="lowerLetter"/>
      <w:lvlText w:val="⮚.%2.%3.%4.%5.%6.%7.%8."/>
      <w:lvlJc w:val="left"/>
      <w:pPr>
        <w:ind w:left="5760" w:hanging="360"/>
      </w:pPr>
    </w:lvl>
    <w:lvl w:ilvl="8">
      <w:start w:val="1"/>
      <w:numFmt w:val="lowerRoman"/>
      <w:lvlText w:val="⮚.%2.%3.%4.%5.%6.%7.%8.%9."/>
      <w:lvlJc w:val="right"/>
      <w:pPr>
        <w:ind w:left="6480" w:hanging="180"/>
      </w:pPr>
    </w:lvl>
  </w:abstractNum>
  <w:abstractNum w:abstractNumId="5">
    <w:nsid w:val="7FDA1945"/>
    <w:multiLevelType w:val="multilevel"/>
    <w:tmpl w:val="4D3EB7B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⮚.%2.%3."/>
      <w:lvlJc w:val="right"/>
      <w:pPr>
        <w:ind w:left="2160" w:hanging="180"/>
      </w:pPr>
    </w:lvl>
    <w:lvl w:ilvl="3">
      <w:start w:val="1"/>
      <w:numFmt w:val="decimal"/>
      <w:lvlText w:val="⮚.%2.%3.%4."/>
      <w:lvlJc w:val="left"/>
      <w:pPr>
        <w:ind w:left="2880" w:hanging="360"/>
      </w:pPr>
    </w:lvl>
    <w:lvl w:ilvl="4">
      <w:start w:val="1"/>
      <w:numFmt w:val="lowerLetter"/>
      <w:lvlText w:val="⮚.%2.%3.%4.%5."/>
      <w:lvlJc w:val="left"/>
      <w:pPr>
        <w:ind w:left="3600" w:hanging="360"/>
      </w:pPr>
    </w:lvl>
    <w:lvl w:ilvl="5">
      <w:start w:val="1"/>
      <w:numFmt w:val="lowerRoman"/>
      <w:lvlText w:val="⮚.%2.%3.%4.%5.%6."/>
      <w:lvlJc w:val="right"/>
      <w:pPr>
        <w:ind w:left="4320" w:hanging="180"/>
      </w:pPr>
    </w:lvl>
    <w:lvl w:ilvl="6">
      <w:start w:val="1"/>
      <w:numFmt w:val="decimal"/>
      <w:lvlText w:val="⮚.%2.%3.%4.%5.%6.%7."/>
      <w:lvlJc w:val="left"/>
      <w:pPr>
        <w:ind w:left="5040" w:hanging="360"/>
      </w:pPr>
    </w:lvl>
    <w:lvl w:ilvl="7">
      <w:start w:val="1"/>
      <w:numFmt w:val="lowerLetter"/>
      <w:lvlText w:val="⮚.%2.%3.%4.%5.%6.%7.%8."/>
      <w:lvlJc w:val="left"/>
      <w:pPr>
        <w:ind w:left="5760" w:hanging="360"/>
      </w:pPr>
    </w:lvl>
    <w:lvl w:ilvl="8">
      <w:start w:val="1"/>
      <w:numFmt w:val="lowerRoman"/>
      <w:lvlText w:val="⮚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C69BB"/>
    <w:rsid w:val="003C69BB"/>
    <w:rsid w:val="00A9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C69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3C69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3C69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3C69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3C69B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3C69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C69BB"/>
  </w:style>
  <w:style w:type="table" w:customStyle="1" w:styleId="TableNormal">
    <w:name w:val="Table Normal"/>
    <w:rsid w:val="003C6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C69BB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3C69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3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4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5">
    <w:basedOn w:val="TableNormal"/>
    <w:rsid w:val="003C69BB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2021-06-23T13:26:00Z</dcterms:created>
  <dcterms:modified xsi:type="dcterms:W3CDTF">2021-06-23T13:26:00Z</dcterms:modified>
</cp:coreProperties>
</file>